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943" w:rsidRDefault="00404AAA" w:rsidP="00EE21F2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</w:t>
      </w:r>
      <w:r>
        <w:rPr>
          <w:rFonts w:hint="eastAsia"/>
        </w:rPr>
        <w:t>8</w:t>
      </w:r>
      <w:r>
        <w:t>年</w:t>
      </w:r>
      <w:r w:rsidR="0059205E">
        <w:rPr>
          <w:rFonts w:hint="eastAsia"/>
        </w:rPr>
        <w:t>电气工程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Default="0084788A" w:rsidP="00E03943">
      <w:pPr>
        <w:pStyle w:val="a"/>
        <w:numPr>
          <w:ilvl w:val="0"/>
          <w:numId w:val="1"/>
        </w:numPr>
        <w:ind w:left="151" w:hangingChars="50" w:hanging="151"/>
      </w:pPr>
      <w:r w:rsidRPr="0088445D">
        <w:rPr>
          <w:rFonts w:hint="eastAsia"/>
        </w:rPr>
        <w:t>转专业工作领导小组</w:t>
      </w:r>
    </w:p>
    <w:p w:rsidR="0059205E" w:rsidRPr="00911F59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组  长：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陈维荣  罗乾超</w:t>
      </w:r>
    </w:p>
    <w:p w:rsidR="0059205E" w:rsidRPr="00911F59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副组长：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赵  舵</w:t>
      </w:r>
    </w:p>
    <w:p w:rsidR="0059205E" w:rsidRDefault="0059205E" w:rsidP="0059205E">
      <w:pPr>
        <w:spacing w:before="0" w:after="0" w:line="460" w:lineRule="exact"/>
        <w:ind w:leftChars="200" w:left="1600" w:hangingChars="400" w:hanging="112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成  员：</w:t>
      </w:r>
      <w:r w:rsidRPr="00545947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何正友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马  磊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何晓琼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5D448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解绍锋 </w:t>
      </w:r>
      <w:r w:rsidR="005D448B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陈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勇 </w:t>
      </w:r>
      <w:r w:rsidR="00102C90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张春燕  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吴积钦  蒋启龙  黄德青  卿安永  刘承志  张血琴  葛兴来  黄  进  徐英雷</w:t>
      </w:r>
    </w:p>
    <w:p w:rsidR="0059205E" w:rsidRDefault="0059205E" w:rsidP="0059205E">
      <w:pPr>
        <w:spacing w:before="0" w:after="0" w:line="460" w:lineRule="exact"/>
        <w:ind w:leftChars="100" w:left="240" w:firstLineChars="100" w:firstLine="28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秘  书：</w:t>
      </w:r>
      <w:r w:rsidRPr="00545947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张婷婷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5D448B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杨乃琪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学院大类内</w:t>
      </w:r>
      <w:r w:rsidR="005B3F37">
        <w:rPr>
          <w:rFonts w:hint="eastAsia"/>
        </w:rPr>
        <w:t>专业分流</w:t>
      </w:r>
      <w:r>
        <w:rPr>
          <w:rFonts w:hint="eastAsia"/>
        </w:rPr>
        <w:t>实施</w:t>
      </w:r>
      <w:r>
        <w:t>细则</w:t>
      </w:r>
    </w:p>
    <w:p w:rsidR="005B3F37" w:rsidRPr="00AE0444" w:rsidRDefault="00AE0444" w:rsidP="00AE0444">
      <w:pPr>
        <w:spacing w:before="0" w:after="0" w:line="460" w:lineRule="exact"/>
        <w:ind w:leftChars="100" w:left="240" w:firstLineChars="100" w:firstLine="28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参见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当年度</w:t>
      </w:r>
      <w:r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学院网站</w:t>
      </w:r>
      <w:r w:rsidR="00ED4442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院内分专业工作安排</w:t>
      </w:r>
      <w:r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通知。</w:t>
      </w:r>
    </w:p>
    <w:p w:rsidR="00E03943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转专业实施细则</w:t>
      </w:r>
    </w:p>
    <w:p w:rsidR="0059205E" w:rsidRPr="00911F59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</w:t>
      </w:r>
      <w:r w:rsidRPr="00911F59">
        <w:rPr>
          <w:rFonts w:hint="eastAsia"/>
          <w:kern w:val="0"/>
          <w:sz w:val="28"/>
          <w:szCs w:val="28"/>
        </w:rPr>
        <w:t>专业要求</w:t>
      </w:r>
    </w:p>
    <w:p w:rsidR="0059205E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在满足《西南交通大学本科生转专业</w:t>
      </w:r>
      <w:r w:rsidR="00B51B2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管理办法</w:t>
      </w:r>
      <w:r w:rsidRPr="00911F59">
        <w:rPr>
          <w:rFonts w:ascii="仿宋_GB2312" w:eastAsia="仿宋_GB2312" w:hAnsi="宋体"/>
          <w:color w:val="000000"/>
          <w:kern w:val="0"/>
          <w:sz w:val="28"/>
          <w:szCs w:val="28"/>
        </w:rPr>
        <w:t>》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对转专业学生相关要求的前提下，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原则上接收转专业的学生应为西南交通大学理、工科类专业大一或大二本科生。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对于申请转入电气工程学院电气工程及其自动化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、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电子信息工程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以及电气工程与智能控制专业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的本科生，要求：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1）申请者必须预修并通过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电气工程学院相关专业规定的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转专业准入课程，学习成绩将作为选拔排名的主要依据之一。</w:t>
      </w:r>
    </w:p>
    <w:p w:rsidR="0059205E" w:rsidRPr="008703B6" w:rsidRDefault="0059205E" w:rsidP="0059205E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/>
          <w:color w:val="000000"/>
          <w:kern w:val="0"/>
          <w:sz w:val="28"/>
          <w:szCs w:val="28"/>
        </w:rPr>
        <w:t>2）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申请者必须通过大学英语四级考试。</w:t>
      </w:r>
    </w:p>
    <w:p w:rsidR="0059205E" w:rsidRPr="00911F59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911F59">
        <w:rPr>
          <w:rFonts w:hint="eastAsia"/>
          <w:kern w:val="0"/>
          <w:sz w:val="28"/>
          <w:szCs w:val="28"/>
        </w:rPr>
        <w:t>计划录取名额</w:t>
      </w:r>
    </w:p>
    <w:p w:rsidR="0059205E" w:rsidRPr="00911F59" w:rsidRDefault="000A3974" w:rsidP="0059205E">
      <w:pPr>
        <w:spacing w:before="0" w:after="0" w:line="240" w:lineRule="auto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201</w:t>
      </w:r>
      <w:r>
        <w:rPr>
          <w:rFonts w:ascii="仿宋_GB2312" w:eastAsia="仿宋_GB2312" w:hAnsi="宋体"/>
          <w:color w:val="000000"/>
          <w:kern w:val="0"/>
          <w:sz w:val="28"/>
          <w:szCs w:val="28"/>
        </w:rPr>
        <w:t>8</w:t>
      </w:r>
      <w:r w:rsidR="0059205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年度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电气工程学院转专业计划录取总</w:t>
      </w:r>
      <w:r w:rsidR="0059205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人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数为：</w:t>
      </w:r>
      <w:r w:rsidR="00B8373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51</w:t>
      </w:r>
      <w:r w:rsidR="0059205E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名</w:t>
      </w:r>
    </w:p>
    <w:tbl>
      <w:tblPr>
        <w:tblW w:w="8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1985"/>
        <w:gridCol w:w="2084"/>
      </w:tblGrid>
      <w:tr w:rsidR="0059205E" w:rsidRPr="005663B9" w:rsidTr="00080816">
        <w:trPr>
          <w:jc w:val="center"/>
        </w:trPr>
        <w:tc>
          <w:tcPr>
            <w:tcW w:w="3985" w:type="dxa"/>
            <w:shd w:val="clear" w:color="auto" w:fill="auto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大类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专业</w:t>
            </w: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名称</w:t>
            </w:r>
          </w:p>
        </w:tc>
        <w:tc>
          <w:tcPr>
            <w:tcW w:w="1985" w:type="dxa"/>
            <w:shd w:val="clear" w:color="auto" w:fill="auto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拟录取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人数</w:t>
            </w:r>
          </w:p>
        </w:tc>
        <w:tc>
          <w:tcPr>
            <w:tcW w:w="2084" w:type="dxa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备注</w:t>
            </w:r>
          </w:p>
        </w:tc>
      </w:tr>
      <w:tr w:rsidR="0059205E" w:rsidRPr="005663B9" w:rsidTr="00080816">
        <w:trPr>
          <w:jc w:val="center"/>
        </w:trPr>
        <w:tc>
          <w:tcPr>
            <w:tcW w:w="3985" w:type="dxa"/>
            <w:shd w:val="clear" w:color="auto" w:fill="auto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电气工程及其自动化</w:t>
            </w:r>
          </w:p>
        </w:tc>
        <w:tc>
          <w:tcPr>
            <w:tcW w:w="1985" w:type="dxa"/>
            <w:shd w:val="clear" w:color="auto" w:fill="auto"/>
          </w:tcPr>
          <w:p w:rsidR="0059205E" w:rsidRPr="00A25B7C" w:rsidRDefault="00102C90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39</w:t>
            </w:r>
          </w:p>
        </w:tc>
        <w:tc>
          <w:tcPr>
            <w:tcW w:w="2084" w:type="dxa"/>
          </w:tcPr>
          <w:p w:rsidR="0059205E" w:rsidRPr="00A25B7C" w:rsidRDefault="0059205E" w:rsidP="006452E1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犀浦</w:t>
            </w:r>
          </w:p>
        </w:tc>
      </w:tr>
      <w:tr w:rsidR="00102C90" w:rsidRPr="005663B9" w:rsidTr="00080816">
        <w:trPr>
          <w:jc w:val="center"/>
        </w:trPr>
        <w:tc>
          <w:tcPr>
            <w:tcW w:w="3985" w:type="dxa"/>
            <w:shd w:val="clear" w:color="auto" w:fill="auto"/>
          </w:tcPr>
          <w:p w:rsidR="00102C90" w:rsidRPr="00A25B7C" w:rsidRDefault="00102C90" w:rsidP="00102C90">
            <w:pPr>
              <w:spacing w:before="0" w:after="0" w:line="240" w:lineRule="auto"/>
              <w:ind w:firstLineChars="0" w:firstLine="0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电子信息工程</w:t>
            </w:r>
          </w:p>
        </w:tc>
        <w:tc>
          <w:tcPr>
            <w:tcW w:w="1985" w:type="dxa"/>
            <w:shd w:val="clear" w:color="auto" w:fill="auto"/>
          </w:tcPr>
          <w:p w:rsidR="00102C90" w:rsidRPr="00A25B7C" w:rsidRDefault="00102C90" w:rsidP="00102C90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2</w:t>
            </w:r>
          </w:p>
        </w:tc>
        <w:tc>
          <w:tcPr>
            <w:tcW w:w="2084" w:type="dxa"/>
          </w:tcPr>
          <w:p w:rsidR="00102C90" w:rsidRPr="00A25B7C" w:rsidRDefault="00102C90" w:rsidP="00102C90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犀浦</w:t>
            </w:r>
          </w:p>
        </w:tc>
      </w:tr>
    </w:tbl>
    <w:p w:rsidR="0059205E" w:rsidRPr="007B66B4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7B66B4">
        <w:rPr>
          <w:rFonts w:hint="eastAsia"/>
          <w:kern w:val="0"/>
          <w:sz w:val="28"/>
          <w:szCs w:val="28"/>
        </w:rPr>
        <w:t>转专业</w:t>
      </w:r>
      <w:r w:rsidRPr="007B66B4">
        <w:rPr>
          <w:kern w:val="0"/>
          <w:sz w:val="28"/>
          <w:szCs w:val="28"/>
        </w:rPr>
        <w:t>准入课程明细</w:t>
      </w:r>
    </w:p>
    <w:tbl>
      <w:tblPr>
        <w:tblStyle w:val="a7"/>
        <w:tblW w:w="8733" w:type="dxa"/>
        <w:tblLook w:val="04A0" w:firstRow="1" w:lastRow="0" w:firstColumn="1" w:lastColumn="0" w:noHBand="0" w:noVBand="1"/>
      </w:tblPr>
      <w:tblGrid>
        <w:gridCol w:w="780"/>
        <w:gridCol w:w="1622"/>
        <w:gridCol w:w="2345"/>
        <w:gridCol w:w="785"/>
        <w:gridCol w:w="1380"/>
        <w:gridCol w:w="1821"/>
      </w:tblGrid>
      <w:tr w:rsidR="00334F41" w:rsidRPr="0084788A" w:rsidTr="00334F41">
        <w:trPr>
          <w:trHeight w:val="96"/>
        </w:trPr>
        <w:tc>
          <w:tcPr>
            <w:tcW w:w="780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lastRenderedPageBreak/>
              <w:t>学院</w:t>
            </w:r>
          </w:p>
        </w:tc>
        <w:tc>
          <w:tcPr>
            <w:tcW w:w="1622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专 业</w:t>
            </w:r>
          </w:p>
        </w:tc>
        <w:tc>
          <w:tcPr>
            <w:tcW w:w="2345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准入课程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785" w:type="dxa"/>
            <w:vAlign w:val="center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学分</w:t>
            </w:r>
          </w:p>
        </w:tc>
        <w:tc>
          <w:tcPr>
            <w:tcW w:w="1380" w:type="dxa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1821" w:type="dxa"/>
            <w:vAlign w:val="center"/>
          </w:tcPr>
          <w:p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:rsidR="00334F41" w:rsidRPr="0084788A" w:rsidTr="00334F41">
        <w:tc>
          <w:tcPr>
            <w:tcW w:w="780" w:type="dxa"/>
            <w:vMerge w:val="restart"/>
            <w:vAlign w:val="center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电气工程学院</w:t>
            </w:r>
          </w:p>
        </w:tc>
        <w:tc>
          <w:tcPr>
            <w:tcW w:w="1622" w:type="dxa"/>
            <w:vMerge w:val="restart"/>
            <w:vAlign w:val="center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电气工程及其自动化专业、</w:t>
            </w:r>
          </w:p>
          <w:p w:rsidR="00102C90" w:rsidRPr="00DF285F" w:rsidRDefault="00334F41" w:rsidP="00B8373F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电子信息工程专业</w:t>
            </w: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高等数学BI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271046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线性代数B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6010500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高等数学BII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1272005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大学物理AI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6111010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数据结构与程序设计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0371089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sz w:val="21"/>
                <w:szCs w:val="21"/>
              </w:rPr>
              <w:t>计算机程序设计基础A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3273468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电路分析AI（含实验）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3273469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A类课程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复变函数与积分变换B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6022900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  <w:vAlign w:val="center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概率论与数理统计B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1271031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大学物理AII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6111020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电路分析AII（含实验）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3273470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  <w:tr w:rsidR="00334F41" w:rsidRPr="0084788A" w:rsidTr="00334F41">
        <w:tc>
          <w:tcPr>
            <w:tcW w:w="780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22" w:type="dxa"/>
            <w:vMerge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345" w:type="dxa"/>
          </w:tcPr>
          <w:p w:rsidR="00334F41" w:rsidRPr="00DF285F" w:rsidRDefault="00334F41" w:rsidP="00344548">
            <w:pPr>
              <w:pStyle w:val="a8"/>
              <w:rPr>
                <w:rFonts w:ascii="仿宋" w:eastAsia="仿宋" w:hAnsi="仿宋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sz w:val="21"/>
                <w:szCs w:val="21"/>
              </w:rPr>
              <w:t>模拟电子技术A</w:t>
            </w:r>
          </w:p>
        </w:tc>
        <w:tc>
          <w:tcPr>
            <w:tcW w:w="785" w:type="dxa"/>
          </w:tcPr>
          <w:p w:rsidR="00334F41" w:rsidRPr="00DF285F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:rsidR="00334F41" w:rsidRPr="00DF285F" w:rsidRDefault="002B2FEB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0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471003</w:t>
            </w:r>
          </w:p>
        </w:tc>
        <w:tc>
          <w:tcPr>
            <w:tcW w:w="1821" w:type="dxa"/>
          </w:tcPr>
          <w:p w:rsidR="00334F41" w:rsidRPr="00DF285F" w:rsidRDefault="00334F41" w:rsidP="00334F41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00000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sz w:val="21"/>
                <w:szCs w:val="21"/>
              </w:rPr>
              <w:t>B类课程</w:t>
            </w:r>
          </w:p>
        </w:tc>
      </w:tr>
    </w:tbl>
    <w:p w:rsidR="005B3F37" w:rsidRDefault="0059205E" w:rsidP="00B1115E">
      <w:pPr>
        <w:pStyle w:val="a"/>
        <w:numPr>
          <w:ilvl w:val="0"/>
          <w:numId w:val="0"/>
        </w:numPr>
        <w:rPr>
          <w:rFonts w:ascii="Times New Roman" w:eastAsia="微软雅黑" w:hAnsi="Times New Roman"/>
          <w:sz w:val="18"/>
          <w:szCs w:val="21"/>
        </w:rPr>
      </w:pPr>
      <w:r w:rsidRPr="0047208E">
        <w:rPr>
          <w:rFonts w:ascii="Times New Roman" w:eastAsia="微软雅黑" w:hAnsi="Times New Roman" w:hint="eastAsia"/>
          <w:sz w:val="18"/>
          <w:szCs w:val="21"/>
        </w:rPr>
        <w:t>注</w:t>
      </w:r>
      <w:r w:rsidRPr="0047208E">
        <w:rPr>
          <w:rFonts w:ascii="Times New Roman" w:eastAsia="微软雅黑" w:hAnsi="Times New Roman"/>
          <w:sz w:val="18"/>
          <w:szCs w:val="21"/>
        </w:rPr>
        <w:t>：</w:t>
      </w:r>
      <w:r w:rsidRPr="0047208E">
        <w:rPr>
          <w:rFonts w:ascii="Times New Roman" w:eastAsia="微软雅黑" w:hAnsi="Times New Roman"/>
          <w:sz w:val="18"/>
          <w:szCs w:val="21"/>
        </w:rPr>
        <w:t>1</w:t>
      </w:r>
      <w:r w:rsidRPr="0047208E">
        <w:rPr>
          <w:rFonts w:ascii="Times New Roman" w:eastAsia="微软雅黑" w:hAnsi="Times New Roman"/>
          <w:sz w:val="18"/>
          <w:szCs w:val="21"/>
        </w:rPr>
        <w:t>、一年级申请转专业学生必须选修并通过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门课程成绩作为排名依据之一；</w:t>
      </w:r>
      <w:r>
        <w:rPr>
          <w:rFonts w:ascii="Times New Roman" w:eastAsia="微软雅黑" w:hAnsi="Times New Roman" w:hint="eastAsia"/>
          <w:sz w:val="18"/>
          <w:szCs w:val="21"/>
        </w:rPr>
        <w:t>2</w:t>
      </w:r>
      <w:r>
        <w:rPr>
          <w:rFonts w:ascii="Times New Roman" w:eastAsia="微软雅黑" w:hAnsi="Times New Roman" w:hint="eastAsia"/>
          <w:sz w:val="18"/>
          <w:szCs w:val="21"/>
        </w:rPr>
        <w:t>、二年级</w:t>
      </w:r>
      <w:r w:rsidRPr="0047208E">
        <w:rPr>
          <w:rFonts w:ascii="Times New Roman" w:eastAsia="微软雅黑" w:hAnsi="Times New Roman"/>
          <w:sz w:val="18"/>
          <w:szCs w:val="21"/>
        </w:rPr>
        <w:t>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 w:rsidRPr="0047208E"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类课程，并通过至少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B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8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门课程成绩作为排名依据之一。</w:t>
      </w:r>
    </w:p>
    <w:p w:rsidR="00334F41" w:rsidRDefault="00334F41" w:rsidP="00334F41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bookmarkStart w:id="1" w:name="_Toc444871911"/>
      <w:bookmarkStart w:id="2" w:name="_Toc444848915"/>
      <w:bookmarkStart w:id="3" w:name="_Toc444615521"/>
      <w:r>
        <w:rPr>
          <w:rFonts w:hint="eastAsia"/>
          <w:kern w:val="0"/>
          <w:sz w:val="28"/>
          <w:szCs w:val="28"/>
        </w:rPr>
        <w:t>转专业考核实施办法</w:t>
      </w:r>
      <w:bookmarkEnd w:id="1"/>
      <w:bookmarkEnd w:id="2"/>
      <w:bookmarkEnd w:id="3"/>
    </w:p>
    <w:p w:rsidR="00334F41" w:rsidRDefault="00334F41" w:rsidP="00334F41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1）考核方式：笔试+面试</w:t>
      </w:r>
    </w:p>
    <w:p w:rsidR="00334F41" w:rsidRDefault="00334F41" w:rsidP="00334F41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2）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笔试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考核内容</w:t>
      </w:r>
      <w:r w:rsidR="00102C9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主要涵盖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：高等数学、大学物理、电路分析、计算机基础、英语</w:t>
      </w:r>
    </w:p>
    <w:p w:rsidR="00334F41" w:rsidRPr="00CE1207" w:rsidRDefault="00334F41" w:rsidP="00CE1207">
      <w:pPr>
        <w:spacing w:before="0" w:after="0" w:line="460" w:lineRule="exact"/>
        <w:ind w:leftChars="472" w:left="1133" w:firstLineChars="0" w:firstLine="0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3）考核时间：秋季学期开学第</w:t>
      </w:r>
      <w:r w:rsidR="00E7056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零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周，具体时间、地点待定。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</w:p>
    <w:p w:rsidR="005B3F37" w:rsidRPr="0089048A" w:rsidRDefault="005B3F37" w:rsidP="005B3F37">
      <w:pPr>
        <w:ind w:firstLine="48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t>1</w:t>
      </w:r>
      <w:r>
        <w:t>、</w:t>
      </w:r>
      <w:r w:rsidRPr="0089048A">
        <w:rPr>
          <w:rFonts w:ascii="仿宋_GB2312" w:eastAsia="仿宋_GB2312" w:hAnsi="宋体"/>
          <w:color w:val="000000"/>
          <w:kern w:val="0"/>
          <w:sz w:val="28"/>
          <w:szCs w:val="28"/>
        </w:rPr>
        <w:t>成都校区</w:t>
      </w:r>
      <w:r w:rsidRPr="0089048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（仅限成都校区本科生）</w:t>
      </w:r>
    </w:p>
    <w:p w:rsidR="00E70565" w:rsidRDefault="00E70565" w:rsidP="00E70565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时间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：6月</w:t>
      </w:r>
      <w:r w:rsidR="00B51B2A"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20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 - 6月2</w:t>
      </w:r>
      <w:r w:rsidR="00B51B2A" w:rsidRPr="004B1B25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</w:t>
      </w:r>
    </w:p>
    <w:p w:rsidR="00E70565" w:rsidRDefault="00E70565" w:rsidP="00E70565">
      <w:pPr>
        <w:spacing w:before="0" w:after="0" w:line="460" w:lineRule="exact"/>
        <w:ind w:firstLineChars="500" w:firstLine="140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上午 9:30 - 11:30 下午14:00 - 16:00</w:t>
      </w:r>
    </w:p>
    <w:p w:rsidR="00E70565" w:rsidRDefault="00E70565" w:rsidP="00E70565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地点：X</w:t>
      </w:r>
      <w:r w:rsidR="000E379D">
        <w:rPr>
          <w:rFonts w:ascii="仿宋_GB2312" w:eastAsia="仿宋_GB2312" w:hAnsi="宋体"/>
          <w:color w:val="000000"/>
          <w:kern w:val="0"/>
          <w:sz w:val="28"/>
          <w:szCs w:val="28"/>
        </w:rPr>
        <w:t>10207</w:t>
      </w:r>
    </w:p>
    <w:p w:rsidR="005B3F37" w:rsidRPr="0089048A" w:rsidRDefault="00E70565" w:rsidP="00CE1207">
      <w:pPr>
        <w:spacing w:before="0" w:after="0" w:line="460" w:lineRule="exact"/>
        <w:ind w:firstLine="560"/>
        <w:rPr>
          <w:rFonts w:ascii="仿宋_GB2312" w:eastAsia="仿宋_GB2312" w:hAnsi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联系电话：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028-</w:t>
      </w:r>
      <w:r w:rsidR="00B51B2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66367747</w:t>
      </w:r>
      <w:bookmarkStart w:id="4" w:name="_GoBack"/>
      <w:bookmarkEnd w:id="4"/>
    </w:p>
    <w:sectPr w:rsidR="005B3F37" w:rsidRPr="0089048A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A87" w:rsidRDefault="00797A87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797A87" w:rsidRDefault="00797A87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A87" w:rsidRDefault="00797A87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797A87" w:rsidRDefault="00797A87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9311B66"/>
    <w:multiLevelType w:val="hybridMultilevel"/>
    <w:tmpl w:val="2018AC44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43"/>
    <w:rsid w:val="00076505"/>
    <w:rsid w:val="00080816"/>
    <w:rsid w:val="000A0078"/>
    <w:rsid w:val="000A3974"/>
    <w:rsid w:val="000D726B"/>
    <w:rsid w:val="000E379D"/>
    <w:rsid w:val="000E42A6"/>
    <w:rsid w:val="00102C90"/>
    <w:rsid w:val="002367C4"/>
    <w:rsid w:val="0028535D"/>
    <w:rsid w:val="002B2FEB"/>
    <w:rsid w:val="002D0055"/>
    <w:rsid w:val="002E49D1"/>
    <w:rsid w:val="00334F41"/>
    <w:rsid w:val="00344548"/>
    <w:rsid w:val="00371A8C"/>
    <w:rsid w:val="0039136C"/>
    <w:rsid w:val="003D30C3"/>
    <w:rsid w:val="00404AAA"/>
    <w:rsid w:val="00455B83"/>
    <w:rsid w:val="004B1B25"/>
    <w:rsid w:val="004D4070"/>
    <w:rsid w:val="004D7708"/>
    <w:rsid w:val="005508F5"/>
    <w:rsid w:val="00550DD3"/>
    <w:rsid w:val="00565E41"/>
    <w:rsid w:val="0059205E"/>
    <w:rsid w:val="00597F1A"/>
    <w:rsid w:val="005B3F37"/>
    <w:rsid w:val="005D448B"/>
    <w:rsid w:val="006725B5"/>
    <w:rsid w:val="0069139E"/>
    <w:rsid w:val="00723EFD"/>
    <w:rsid w:val="00776A49"/>
    <w:rsid w:val="00797A87"/>
    <w:rsid w:val="0084788A"/>
    <w:rsid w:val="0089048A"/>
    <w:rsid w:val="008E4C6E"/>
    <w:rsid w:val="009D1789"/>
    <w:rsid w:val="00A12EB0"/>
    <w:rsid w:val="00A25B7C"/>
    <w:rsid w:val="00AE0444"/>
    <w:rsid w:val="00B06FF2"/>
    <w:rsid w:val="00B1115E"/>
    <w:rsid w:val="00B262E7"/>
    <w:rsid w:val="00B26857"/>
    <w:rsid w:val="00B43EDF"/>
    <w:rsid w:val="00B51B2A"/>
    <w:rsid w:val="00B8373F"/>
    <w:rsid w:val="00BD454B"/>
    <w:rsid w:val="00CE1207"/>
    <w:rsid w:val="00CF5AE5"/>
    <w:rsid w:val="00D255B9"/>
    <w:rsid w:val="00DA09C6"/>
    <w:rsid w:val="00DF285F"/>
    <w:rsid w:val="00E03943"/>
    <w:rsid w:val="00E10EE7"/>
    <w:rsid w:val="00E4344A"/>
    <w:rsid w:val="00E56FBF"/>
    <w:rsid w:val="00E70565"/>
    <w:rsid w:val="00ED4442"/>
    <w:rsid w:val="00EE21F2"/>
    <w:rsid w:val="00F65907"/>
    <w:rsid w:val="00F94DA3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613C43-116B-46B8-B3A9-5A969157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表格的段落字体"/>
    <w:basedOn w:val="a0"/>
    <w:link w:val="Char2"/>
    <w:autoRedefine/>
    <w:uiPriority w:val="99"/>
    <w:qFormat/>
    <w:rsid w:val="00344548"/>
    <w:pPr>
      <w:adjustRightInd w:val="0"/>
      <w:snapToGrid w:val="0"/>
      <w:spacing w:before="0" w:after="0" w:line="460" w:lineRule="exact"/>
      <w:ind w:firstLineChars="0" w:firstLine="0"/>
      <w:jc w:val="center"/>
      <w:textAlignment w:val="center"/>
    </w:pPr>
    <w:rPr>
      <w:rFonts w:ascii="Times New Roman" w:eastAsia="楷体" w:hAnsi="Times New Roman"/>
      <w:kern w:val="0"/>
      <w:sz w:val="18"/>
      <w:szCs w:val="18"/>
    </w:rPr>
  </w:style>
  <w:style w:type="character" w:customStyle="1" w:styleId="Char2">
    <w:name w:val="表格的段落字体 Char"/>
    <w:basedOn w:val="a1"/>
    <w:link w:val="a8"/>
    <w:uiPriority w:val="99"/>
    <w:rsid w:val="00344548"/>
    <w:rPr>
      <w:rFonts w:ascii="Times New Roman" w:eastAsia="楷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173</Words>
  <Characters>987</Characters>
  <Application>Microsoft Office Word</Application>
  <DocSecurity>0</DocSecurity>
  <Lines>8</Lines>
  <Paragraphs>2</Paragraphs>
  <ScaleCrop>false</ScaleCrop>
  <Company>Lenovo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21</cp:revision>
  <dcterms:created xsi:type="dcterms:W3CDTF">2016-11-16T07:48:00Z</dcterms:created>
  <dcterms:modified xsi:type="dcterms:W3CDTF">2017-12-22T08:32:00Z</dcterms:modified>
</cp:coreProperties>
</file>